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78" w:after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Temeljem članka 30. Statuta Općine Selnica („Službeni glasnik Međimurske županije“, broj 5/21, 16/22 i 17/25),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O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pćinsko vijeće Općine Selnica na 6. sjednici održanoj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dana 29. lipnja 2026. godine, donosi</w:t>
      </w:r>
    </w:p>
    <w:p>
      <w:pPr>
        <w:widowControl w:val="1"/>
        <w:bidi w:val="0"/>
        <w:jc w:val="left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ODLUKU</w:t>
      </w: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 davanju suglasnosti na Strateški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plan za ostvarivanje prava i potreba djece na području Općine Selnica u okviru Programa „Gradovi i općine – prijatelji djece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“ za razdoblje od 2026. do 2028. godine</w:t>
      </w: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Općinsko vijeće Općine Selnica daje suglasnost na Strateški plan za ostvarivanje prava i potreba djece na području Općine Selnica u okviru Programa „Gradovi i općine – prijatelji djece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“ za razdoblje od 2026. do 2028. godine (u daljnjem tekstu: Strateški plan).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Strateški plan sastavni je dio ove Odluke i nije predmet objave u „Službenom glasniku Međimurske županije“.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  <w:t xml:space="preserve">Ova Odluka stupa na snagu osmog dana od dana objave u „Službenom glasniku Međimurske županije“.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004-03/26-01/2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2109-15-03-26-1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 xml:space="preserve">29. lipnja </w:t>
      </w:r>
      <w:r>
        <w:rPr>
          <w:rFonts w:ascii="Times New Roman" w:hAnsi="Times New Roman"/>
          <w:sz w:val="24"/>
        </w:rPr>
        <w:t>2026.</w:t>
      </w:r>
      <w:bookmarkStart w:id="0" w:name="_GoBack"/>
      <w:bookmarkEnd w:id="0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widowControl w:val="1"/>
        <w:bidi w:val="0"/>
        <w:jc w:val="right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 xml:space="preserve">PREDSJEDNIK OPĆINSKOG VIJEĆA</w:t>
      </w:r>
    </w:p>
    <w:p>
      <w:pPr>
        <w:widowControl w:val="1"/>
        <w:bidi w:val="0"/>
        <w:jc w:val="right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ab/>
        <w:t xml:space="preserve">        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_rels/header2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2026-06-30T15:24:49Z</dcterms:created>
  <dcterms:modified xsi:type="dcterms:W3CDTF">2026-06-30T15:24:49Z</dcterms:modified>
</cp:coreProperties>
</file>